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7608EC">
        <w:rPr>
          <w:rFonts w:ascii="Times New Roman" w:hAnsi="Times New Roman"/>
          <w:b/>
          <w:bCs/>
          <w:color w:val="auto"/>
          <w:sz w:val="28"/>
          <w:szCs w:val="28"/>
        </w:rPr>
        <w:t>Утверждена Стратегия развития здравоохранения в Российской Федерации на период до 2030 года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7608EC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7608EC" w:rsidRPr="007608EC" w:rsidTr="007608E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7608EC" w:rsidRPr="007608EC" w:rsidRDefault="007608EC" w:rsidP="007608EC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08EC" w:rsidRPr="007608EC" w:rsidRDefault="007608EC" w:rsidP="007608EC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7608EC">
        <w:rPr>
          <w:rFonts w:ascii="Times New Roman" w:hAnsi="Times New Roman"/>
          <w:color w:val="auto"/>
          <w:sz w:val="28"/>
          <w:szCs w:val="28"/>
        </w:rPr>
        <w:t>Указ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 Президента РФ от 08.12.2025 N 896</w:t>
      </w:r>
      <w:r w:rsidRPr="007608EC">
        <w:rPr>
          <w:rFonts w:ascii="Times New Roman" w:hAnsi="Times New Roman"/>
          <w:color w:val="auto"/>
          <w:sz w:val="28"/>
          <w:szCs w:val="28"/>
        </w:rPr>
        <w:br/>
        <w:t xml:space="preserve">"О Стратегии развития здравоохранения в Российской Федерации на период до 2030 года" 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Стратегией определены следующие цели развития здравоохранения в РФ: повышение качества медицинской помощи и увеличение ее доступности для граждан, соблюдение их прав в сфере охраны здоровья и обеспечение связанных с этими правами государственных гарантий. 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В качестве основных задач развития здравоохранения в РФ названы, в частности, следующие: борьба с факторами риска неинфекционных болезней, включая повышение мотивации граждан к ведению здорового образа жизни; сохранение здоровья населения за счет профилактических мероприятий, внедрение технологий сбережения здоровья на популяционном уровне, включая здоровое старение и активное долголетие; создание условий для повышения качества и безопасности медицинской помощи, увеличения ее доступности, а также для роста доверия населения к системе здравоохранения; совершенствование механизмов предоставления санаторно-курортного лечения и оздоровления населения; развитие государственной системы социально-гигиенического мониторинга; развитие технологий персонализированной медицины и пр. 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Согласно документу, наиболее значимыми вызовами национальной безопасности в сфере охраны здоровья граждан являются старение населения (увеличение доли граждан старше трудоспособного возраста), необходимость дальнейшего увеличения доступности медицинской помощи и уровня удовлетворенности ею населения, а также необходимость обеспечения технологического суверенитета в сфере здравоохранения путем производства отечественных лекарственных препаратов для медицинского применения и медицинских изделий, а также путем развития современных медицинских технологий. 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К 2030 году ожидаемыми результатами реализации Стратегии должны стать, в том числе: увеличение до 90 процентов доли лекарственных препаратов для медицинского применения, произведенных в РФ (в натуральном выражении), в общем объеме лекарственных препаратов, включенных в перечень ЖНВЛП; достижение уровня технологической независимости в сфере здравоохранения - 80 процентов; сокращение потребления алкоголя до 7,8 литра этанола на душу населения; вовлечение 100 процентов медицинских организаций в реализацию проектов, направленных на повышение производительности труда и пр. 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     </w:t>
      </w:r>
      <w:r w:rsidRPr="007608EC">
        <w:rPr>
          <w:rFonts w:ascii="Times New Roman" w:hAnsi="Times New Roman"/>
          <w:color w:val="auto"/>
          <w:sz w:val="28"/>
          <w:szCs w:val="28"/>
        </w:rPr>
        <w:t xml:space="preserve">Стратегией также определены угрозы национальной безопасности в сфере охраны здоровья граждан и приоритетные направления развития здравоохранения в РФ. </w:t>
      </w:r>
    </w:p>
    <w:p w:rsidR="007608EC" w:rsidRPr="007608EC" w:rsidRDefault="007608EC" w:rsidP="007608EC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bookmarkStart w:id="0" w:name="_GoBack"/>
      <w:bookmarkEnd w:id="0"/>
      <w:r w:rsidRPr="007608EC">
        <w:rPr>
          <w:rFonts w:ascii="Times New Roman" w:hAnsi="Times New Roman"/>
          <w:color w:val="auto"/>
          <w:sz w:val="28"/>
          <w:szCs w:val="28"/>
        </w:rPr>
        <w:t xml:space="preserve">Настоящий Указ вступает в силу со дня его подписания. </w:t>
      </w:r>
    </w:p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7608EC" w:rsidRDefault="007608EC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7608EC"/>
    <w:rsid w:val="0091697B"/>
    <w:rsid w:val="00954C07"/>
    <w:rsid w:val="00A62612"/>
    <w:rsid w:val="00AC2745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747F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419</Words>
  <Characters>2390</Characters>
  <Application>Microsoft Office Word</Application>
  <DocSecurity>0</DocSecurity>
  <Lines>19</Lines>
  <Paragraphs>5</Paragraphs>
  <ScaleCrop>false</ScaleCrop>
  <Company>Прокуратура РФ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39</cp:revision>
  <dcterms:created xsi:type="dcterms:W3CDTF">2025-12-15T08:38:00Z</dcterms:created>
  <dcterms:modified xsi:type="dcterms:W3CDTF">2025-12-15T09:22:00Z</dcterms:modified>
</cp:coreProperties>
</file>